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Sculpting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87872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April-May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us.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place.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sculpting?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Form,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slip,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blend,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glaze,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origami,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scoring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8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make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5840" w:h="12240" w:orient="landscape"/>
          <w:pgMar w:header="0" w:footer="982" w:top="700" w:bottom="118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78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FA.5-8.VA.1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introspection,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displays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self.</w:t>
            </w:r>
          </w:p>
          <w:p>
            <w:pPr>
              <w:pStyle w:val="TableParagraph"/>
              <w:spacing w:before="1"/>
              <w:ind w:left="110" w:right="403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line="251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FA.5-8.VA.4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(VA:Cr1.2.5-</w:t>
            </w:r>
            <w:r>
              <w:rPr>
                <w:spacing w:val="-5"/>
                <w:sz w:val="22"/>
              </w:rPr>
              <w:t>8a)</w:t>
            </w:r>
          </w:p>
          <w:p>
            <w:pPr>
              <w:pStyle w:val="TableParagraph"/>
              <w:ind w:left="110" w:right="795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line="237" w:lineRule="auto" w:before="3"/>
              <w:ind w:left="110" w:right="403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line="254" w:lineRule="exact"/>
              <w:ind w:left="110" w:right="1712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6666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7" w:lineRule="auto" w:before="3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3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4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5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5" w:after="0"/>
              <w:ind w:left="825" w:right="571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8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unity, harmony, variety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23" w:lineRule="auto" w:before="19" w:after="0"/>
              <w:ind w:left="1545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572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5" w:lineRule="auto" w:before="0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variety,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1073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54" w:lineRule="exact" w:before="0" w:after="0"/>
              <w:ind w:left="82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type w:val="continuous"/>
          <w:pgSz w:w="15840" w:h="12240" w:orient="landscape"/>
          <w:pgMar w:header="0" w:footer="982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7665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37" w:lineRule="auto" w:before="2"/>
              <w:ind w:right="107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 an understanding and appreciation of personal, 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 to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(dancers, actors, musicians, and visual artists) use processes, materials, movements, technologies, tools, techniques, and environments in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615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025" w:hRule="atLeast"/>
        </w:trPr>
        <w:tc>
          <w:tcPr>
            <w:tcW w:w="6518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sculpting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Plasticine,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sculpting techniques, animal sculpture project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63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monster/animal,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life-like version of your monster using plasticine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720" w:lineRule="auto"/>
              <w:ind w:left="105" w:right="1053"/>
              <w:rPr>
                <w:sz w:val="22"/>
              </w:rPr>
            </w:pPr>
            <w:r>
              <w:rPr>
                <w:sz w:val="22"/>
              </w:rPr>
              <w:t>Animal sculpture project “Make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Monster”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  <w:p>
            <w:pPr>
              <w:pStyle w:val="TableParagraph"/>
              <w:spacing w:line="254" w:lineRule="exact"/>
              <w:ind w:left="105" w:right="28"/>
              <w:rPr>
                <w:sz w:val="22"/>
              </w:rPr>
            </w:pPr>
            <w:r>
              <w:rPr>
                <w:sz w:val="22"/>
              </w:rPr>
              <w:t>Mothers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jewelry/candy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bowl sculpting 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82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3287" w:hRule="atLeast"/>
        </w:trPr>
        <w:tc>
          <w:tcPr>
            <w:tcW w:w="651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5-8: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Pottery,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coiling,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sticking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pieces together, cutting with wire, etc.), and precautions (e.g., no bubbles), Mothers Day jewelry/candy bowl sculpting project</w:t>
            </w: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9-10: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 card/gift box</w:t>
            </w:r>
          </w:p>
          <w:p>
            <w:pPr>
              <w:pStyle w:val="TableParagraph"/>
              <w:spacing w:before="252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11-14: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Piggy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(expectations, tutorial, creation, painting, and final touches)</w:t>
            </w:r>
          </w:p>
          <w:p>
            <w:pPr>
              <w:pStyle w:val="TableParagraph"/>
              <w:spacing w:line="250" w:lineRule="exact" w:before="24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15-16: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Origami,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Origami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tutorial,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free-create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720" w:lineRule="auto"/>
              <w:ind w:left="105" w:right="784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Piggy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project Free-create 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Increase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83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experimentation.</w:t>
            </w:r>
          </w:p>
        </w:tc>
      </w:tr>
      <w:tr>
        <w:trPr>
          <w:trHeight w:val="241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leaves)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98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62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8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334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34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8,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7.75pt;height:15.5pt;mso-position-horizontal-relative:page;mso-position-vertical-relative:page;z-index:-15887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8,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2024-08-29T16:20:50Z</dcterms:created>
  <dcterms:modified xsi:type="dcterms:W3CDTF">2024-08-29T16:20:50Z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